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bfbfb" w:val="clear"/>
        <w:spacing w:line="360" w:lineRule="auto"/>
        <w:jc w:val="right"/>
        <w:rPr>
          <w:rFonts w:ascii="Helvetica Neue Light" w:cs="Helvetica Neue Light" w:eastAsia="Helvetica Neue Light" w:hAnsi="Helvetica Neue Light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bfbfb" w:val="clear"/>
        <w:spacing w:line="360" w:lineRule="auto"/>
        <w:jc w:val="right"/>
        <w:rPr>
          <w:rFonts w:ascii="Helvetica Neue Light" w:cs="Helvetica Neue Light" w:eastAsia="Helvetica Neue Light" w:hAnsi="Helvetica Neue Light"/>
          <w:color w:val="2f5496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e90"/>
          <w:sz w:val="32"/>
          <w:szCs w:val="32"/>
        </w:rPr>
        <w:drawing>
          <wp:inline distB="114300" distT="114300" distL="114300" distR="114300">
            <wp:extent cx="1322388" cy="7480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388" cy="748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65e90"/>
          <w:sz w:val="32"/>
          <w:szCs w:val="32"/>
        </w:rPr>
        <w:drawing>
          <wp:inline distB="114300" distT="114300" distL="114300" distR="114300">
            <wp:extent cx="890295" cy="89029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295" cy="890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65e90"/>
          <w:sz w:val="32"/>
          <w:szCs w:val="32"/>
        </w:rPr>
        <w:drawing>
          <wp:inline distB="114300" distT="114300" distL="114300" distR="114300">
            <wp:extent cx="2293938" cy="83816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938" cy="838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color w:val="2f5496"/>
          <w:sz w:val="32"/>
          <w:szCs w:val="32"/>
          <w:vertAlign w:val="baseline"/>
          <w:rtl w:val="0"/>
        </w:rPr>
        <w:t xml:space="preserve">H2.7</w:t>
      </w:r>
    </w:p>
    <w:p w:rsidR="00000000" w:rsidDel="00000000" w:rsidP="00000000" w:rsidRDefault="00000000" w:rsidRPr="00000000" w14:paraId="00000003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Οφέλη της μη τυπικής μάθησης</w:t>
      </w:r>
    </w:p>
    <w:p w:rsidR="00000000" w:rsidDel="00000000" w:rsidP="00000000" w:rsidRDefault="00000000" w:rsidRPr="00000000" w14:paraId="00000004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Για νέους :</w:t>
      </w:r>
    </w:p>
    <w:p w:rsidR="00000000" w:rsidDel="00000000" w:rsidP="00000000" w:rsidRDefault="00000000" w:rsidRPr="00000000" w14:paraId="00000006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Νέες και συναρπαστικές εμπειρίες</w:t>
      </w:r>
    </w:p>
    <w:p w:rsidR="00000000" w:rsidDel="00000000" w:rsidP="00000000" w:rsidRDefault="00000000" w:rsidRPr="00000000" w14:paraId="00000007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Ανακάλυψη νέων ενδιαφερόντων, ταλέντων και δεξιοτήτων</w:t>
      </w:r>
    </w:p>
    <w:p w:rsidR="00000000" w:rsidDel="00000000" w:rsidP="00000000" w:rsidRDefault="00000000" w:rsidRPr="00000000" w14:paraId="00000008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Προσδιορισμός νέων τρόπων μάθησης</w:t>
      </w:r>
    </w:p>
    <w:p w:rsidR="00000000" w:rsidDel="00000000" w:rsidP="00000000" w:rsidRDefault="00000000" w:rsidRPr="00000000" w14:paraId="00000009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Εκμάθηση για τη συλλογική λήψη αποφάσεων και τη συνεργασία</w:t>
      </w:r>
    </w:p>
    <w:p w:rsidR="00000000" w:rsidDel="00000000" w:rsidP="00000000" w:rsidRDefault="00000000" w:rsidRPr="00000000" w14:paraId="0000000A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Βελτιωμένες κοινωνικές δεξιότητες</w:t>
      </w:r>
    </w:p>
    <w:p w:rsidR="00000000" w:rsidDel="00000000" w:rsidP="00000000" w:rsidRDefault="00000000" w:rsidRPr="00000000" w14:paraId="0000000B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Αύξηση της αυτοεκτίμησης και της αυτοπεποίθησης</w:t>
      </w:r>
    </w:p>
    <w:p w:rsidR="00000000" w:rsidDel="00000000" w:rsidP="00000000" w:rsidRDefault="00000000" w:rsidRPr="00000000" w14:paraId="0000000C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Καλύτερα επίπεδα επιτευγμάτων</w:t>
      </w:r>
    </w:p>
    <w:p w:rsidR="00000000" w:rsidDel="00000000" w:rsidP="00000000" w:rsidRDefault="00000000" w:rsidRPr="00000000" w14:paraId="0000000D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Για το προσωπικό</w:t>
      </w:r>
    </w:p>
    <w:p w:rsidR="00000000" w:rsidDel="00000000" w:rsidP="00000000" w:rsidRDefault="00000000" w:rsidRPr="00000000" w14:paraId="0000000F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Βαθύτερη κατανόηση του πώς μαθαίνουν τα παιδιά</w:t>
      </w:r>
    </w:p>
    <w:p w:rsidR="00000000" w:rsidDel="00000000" w:rsidP="00000000" w:rsidRDefault="00000000" w:rsidRPr="00000000" w14:paraId="00000010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Βελτιωμένο κίνητρο των μαθητών</w:t>
      </w:r>
    </w:p>
    <w:p w:rsidR="00000000" w:rsidDel="00000000" w:rsidP="00000000" w:rsidRDefault="00000000" w:rsidRPr="00000000" w14:paraId="00000011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Νέες παρεμβάσεις και δεξιότητες πέρα ​​από το πρόγραμμα σπουδών</w:t>
      </w:r>
    </w:p>
    <w:p w:rsidR="00000000" w:rsidDel="00000000" w:rsidP="00000000" w:rsidRDefault="00000000" w:rsidRPr="00000000" w14:paraId="00000012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Βελτιωμένες σχέσεις δασκάλου/μαθητή</w:t>
      </w:r>
    </w:p>
    <w:p w:rsidR="00000000" w:rsidDel="00000000" w:rsidP="00000000" w:rsidRDefault="00000000" w:rsidRPr="00000000" w14:paraId="00000013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Καλύτερα ποσοστά συμμετοχής και επιτυχίας</w:t>
      </w:r>
    </w:p>
    <w:p w:rsidR="00000000" w:rsidDel="00000000" w:rsidP="00000000" w:rsidRDefault="00000000" w:rsidRPr="00000000" w14:paraId="00000014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Ευκαιρία συμμετοχής γονέων/φροντιστών και ευρύτερης κοινότητας</w:t>
      </w:r>
    </w:p>
    <w:p w:rsidR="00000000" w:rsidDel="00000000" w:rsidP="00000000" w:rsidRDefault="00000000" w:rsidRPr="00000000" w14:paraId="00000015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Καλύτερη φήμη για το σχολείο</w:t>
      </w:r>
    </w:p>
    <w:p w:rsidR="00000000" w:rsidDel="00000000" w:rsidP="00000000" w:rsidRDefault="00000000" w:rsidRPr="00000000" w14:paraId="00000016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32"/>
          <w:szCs w:val="32"/>
          <w:rtl w:val="0"/>
        </w:rPr>
        <w:t xml:space="preserve">Αυξημένη εργασιακή ικανοποίηση</w:t>
      </w:r>
    </w:p>
    <w:p w:rsidR="00000000" w:rsidDel="00000000" w:rsidP="00000000" w:rsidRDefault="00000000" w:rsidRPr="00000000" w14:paraId="00000017">
      <w:pPr>
        <w:shd w:fill="fbfbfb" w:val="clear"/>
        <w:spacing w:line="360" w:lineRule="auto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361" w:top="1440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4HHgcfFrEfYB8E7KLgBnXnM8Hg==">AMUW2mXl+4/rMm25m6tA78IsMXLHztCIJcm10DFHaHfk+mg9Ua2Btqe5wGuRW4x81BF+c8uL6aoO3mnP+CLCYi3AZ67Y9i3hZwroHbWO9+4H1/Q6aO3gQ5g=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2022-09-24T13:07:00Z</dcterms:created>
  <dc:creator>nvaithi</dc:creator>
</cp:coreProperties>
</file>